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D618" w14:textId="7C405B4F" w:rsidR="003C5940" w:rsidRPr="003050FA" w:rsidRDefault="003B695C" w:rsidP="00670A6D">
      <w:pPr>
        <w:spacing w:after="60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1</w:t>
      </w:r>
    </w:p>
    <w:p w14:paraId="7DC642E9" w14:textId="77777777" w:rsidR="003C5940" w:rsidRPr="003050FA" w:rsidRDefault="003B695C" w:rsidP="00951783">
      <w:pPr>
        <w:spacing w:after="120"/>
        <w:ind w:left="142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83">
        <w:rPr>
          <w:rFonts w:ascii="Times New Roman" w:hAnsi="Times New Roman" w:cs="Times New Roman"/>
          <w:b/>
          <w:sz w:val="24"/>
          <w:szCs w:val="24"/>
        </w:rPr>
        <w:t>Účel</w:t>
      </w:r>
    </w:p>
    <w:p w14:paraId="3A01EFF0" w14:textId="6874B087" w:rsidR="003C5940" w:rsidRPr="00951783" w:rsidRDefault="003B695C" w:rsidP="00951783">
      <w:pPr>
        <w:pBdr>
          <w:top w:val="nil"/>
          <w:left w:val="nil"/>
          <w:bottom w:val="nil"/>
          <w:right w:val="nil"/>
          <w:between w:val="nil"/>
        </w:pBdr>
        <w:spacing w:after="240"/>
        <w:ind w:left="13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Účelom týchto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štandardných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podmienok poskytovania prekladateľských služieb je </w:t>
      </w:r>
      <w:r w:rsidRPr="003050FA">
        <w:rPr>
          <w:rFonts w:ascii="Times New Roman" w:hAnsi="Times New Roman" w:cs="Times New Roman"/>
          <w:sz w:val="24"/>
          <w:szCs w:val="24"/>
        </w:rPr>
        <w:t>vymedzi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ť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základné pojmy a stanoviť podmienky, za ktorých členovia SAPT poskytujú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prekladateľské služby.</w:t>
      </w:r>
    </w:p>
    <w:p w14:paraId="775E976F" w14:textId="77777777" w:rsidR="003C5940" w:rsidRPr="003050FA" w:rsidRDefault="003B695C" w:rsidP="00951783">
      <w:pPr>
        <w:spacing w:after="6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2E487F2" w14:textId="017CD899" w:rsidR="003C5940" w:rsidRPr="003050FA" w:rsidRDefault="003B695C" w:rsidP="00951783">
      <w:pPr>
        <w:spacing w:after="12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Vymedzenie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základných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pojmov</w:t>
      </w:r>
    </w:p>
    <w:p w14:paraId="144003E4" w14:textId="59E95065" w:rsidR="003C5940" w:rsidRPr="00951783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ind w:left="567" w:right="108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>„Preklad“ znamená preklad textu zo zdrojového jazyka do cieľového jazyka v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elektronickej alebo papierovej forme, ktorá významovo, štylisticky a z hľadiska formátovania zodpovedá originálu.</w:t>
      </w:r>
    </w:p>
    <w:p w14:paraId="76E2056A" w14:textId="5A0BF7EC" w:rsidR="003C5940" w:rsidRPr="00951783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ind w:left="567" w:right="11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„Prekladateľ“ znamená fyzickú alebo právnickú osobu, ktorá, na základe zmluvy alebo inak, dodáva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zadávateľovi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preklad.</w:t>
      </w:r>
    </w:p>
    <w:p w14:paraId="57F69E34" w14:textId="34B1FAEC" w:rsidR="003C5940" w:rsidRPr="003050FA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36"/>
        </w:tabs>
        <w:spacing w:after="120"/>
        <w:ind w:left="567" w:right="10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„Normostrana“ </w:t>
      </w:r>
      <w:r w:rsidRPr="003050FA">
        <w:rPr>
          <w:rFonts w:ascii="Times New Roman" w:hAnsi="Times New Roman" w:cs="Times New Roman"/>
          <w:sz w:val="24"/>
          <w:szCs w:val="24"/>
        </w:rPr>
        <w:t xml:space="preserve">je najbežnejším základom pre výpočet odmeny prekladateľa. V súlade s prevládajúcou praxou sa normostranou sa rozumie 1 500 znakov bez </w:t>
      </w:r>
      <w:r w:rsidRPr="00951783">
        <w:rPr>
          <w:rFonts w:ascii="Times New Roman" w:hAnsi="Times New Roman" w:cs="Times New Roman"/>
          <w:sz w:val="24"/>
          <w:szCs w:val="24"/>
        </w:rPr>
        <w:t>medzier</w:t>
      </w:r>
      <w:r w:rsidRPr="003050FA">
        <w:rPr>
          <w:rFonts w:ascii="Times New Roman" w:hAnsi="Times New Roman" w:cs="Times New Roman"/>
          <w:sz w:val="24"/>
          <w:szCs w:val="24"/>
        </w:rPr>
        <w:t xml:space="preserve"> alebo 1 800 znakov s medzerami.</w:t>
      </w:r>
      <w:r w:rsidR="00A3481E" w:rsidRPr="00305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023E8" w14:textId="75BCEC8E" w:rsidR="003C5940" w:rsidRPr="003050FA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ind w:left="567" w:right="111" w:hanging="437"/>
        <w:jc w:val="both"/>
        <w:rPr>
          <w:rFonts w:ascii="Times New Roman" w:hAnsi="Times New Roman" w:cs="Times New Roman"/>
          <w:sz w:val="24"/>
          <w:szCs w:val="24"/>
        </w:rPr>
      </w:pPr>
      <w:r w:rsidRPr="003050FA">
        <w:rPr>
          <w:rFonts w:ascii="Times New Roman" w:hAnsi="Times New Roman" w:cs="Times New Roman"/>
          <w:sz w:val="24"/>
          <w:szCs w:val="24"/>
        </w:rPr>
        <w:t>„Oprava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prekladu“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znamená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opravu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prekladu,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ktorý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je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chybný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alebo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neúplný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a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 xml:space="preserve">ktorého autorom je iný prekladateľ než ten, u ktorého si zadávateľ opravu </w:t>
      </w:r>
      <w:r w:rsidRPr="00951783">
        <w:rPr>
          <w:rFonts w:ascii="Times New Roman" w:hAnsi="Times New Roman" w:cs="Times New Roman"/>
          <w:sz w:val="24"/>
          <w:szCs w:val="24"/>
        </w:rPr>
        <w:t>objednal.</w:t>
      </w:r>
    </w:p>
    <w:p w14:paraId="0B0E4E28" w14:textId="2C55A27A" w:rsidR="003C5940" w:rsidRPr="003050FA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ind w:left="567" w:right="112" w:hanging="437"/>
        <w:jc w:val="both"/>
        <w:rPr>
          <w:rFonts w:ascii="Times New Roman" w:hAnsi="Times New Roman" w:cs="Times New Roman"/>
          <w:sz w:val="24"/>
          <w:szCs w:val="24"/>
        </w:rPr>
      </w:pPr>
      <w:r w:rsidRPr="003050FA">
        <w:rPr>
          <w:rFonts w:ascii="Times New Roman" w:hAnsi="Times New Roman" w:cs="Times New Roman"/>
          <w:sz w:val="24"/>
          <w:szCs w:val="24"/>
        </w:rPr>
        <w:t>„Korektúra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prekladu“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znamená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konečnú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úpravu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prekladu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z terminologického a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jazykového hľadiska, ktorú si zadávateľ objednal u autora pôvodného prekladu alebo u špecializovaného korektora, alebo ktorú prekladateľ zadal špecializovanému korektorovi.</w:t>
      </w:r>
    </w:p>
    <w:p w14:paraId="3ED903F6" w14:textId="77777777" w:rsidR="003C5940" w:rsidRPr="003050FA" w:rsidRDefault="003B695C" w:rsidP="00DB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ind w:left="567" w:right="113" w:hanging="437"/>
        <w:jc w:val="both"/>
        <w:rPr>
          <w:rFonts w:ascii="Times New Roman" w:hAnsi="Times New Roman" w:cs="Times New Roman"/>
          <w:sz w:val="24"/>
          <w:szCs w:val="24"/>
        </w:rPr>
      </w:pPr>
      <w:r w:rsidRPr="003050FA">
        <w:rPr>
          <w:rFonts w:ascii="Times New Roman" w:hAnsi="Times New Roman" w:cs="Times New Roman"/>
          <w:sz w:val="24"/>
          <w:szCs w:val="24"/>
        </w:rPr>
        <w:t>„CAT nástroj“ je softvérový nástroj na počítačovú podporu prekladu využívajúci technológiu prekladateľských pamätí a glosárov, v ktorom sú uložené segmenty zdrojových a cieľových textov a glosáre, ktoré prekladateľ vytvoril v priebehu predchádzajúcej práce. CAT nástroj môže byť prepojený aj na iné databázy a terminologické zdroje a môže umožňovať súčasnú prácu viacerých prekladateľov na tom istom texte.</w:t>
      </w:r>
    </w:p>
    <w:p w14:paraId="2679CD62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29C8FA5A" w14:textId="395509D2" w:rsidR="003C5940" w:rsidRPr="003050FA" w:rsidRDefault="001B7E11" w:rsidP="00951783">
      <w:pPr>
        <w:spacing w:after="12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Z</w:t>
      </w:r>
      <w:r w:rsidR="003B695C" w:rsidRPr="003050FA">
        <w:rPr>
          <w:rFonts w:ascii="Times New Roman" w:hAnsi="Times New Roman" w:cs="Times New Roman"/>
          <w:b/>
          <w:sz w:val="24"/>
          <w:szCs w:val="24"/>
        </w:rPr>
        <w:t>isteni</w:t>
      </w:r>
      <w:r w:rsidRPr="003050FA">
        <w:rPr>
          <w:rFonts w:ascii="Times New Roman" w:hAnsi="Times New Roman" w:cs="Times New Roman"/>
          <w:b/>
          <w:sz w:val="24"/>
          <w:szCs w:val="24"/>
        </w:rPr>
        <w:t xml:space="preserve">e základu pre výpočet odmeny </w:t>
      </w:r>
    </w:p>
    <w:p w14:paraId="1E3908B1" w14:textId="11779C40" w:rsidR="003C5940" w:rsidRPr="00951783" w:rsidRDefault="003B695C" w:rsidP="00DB22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0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>Počet znakov sa zistí na lište nástrojov v aplikácii M</w:t>
      </w:r>
      <w:r w:rsidR="00A3481E" w:rsidRPr="003050FA">
        <w:rPr>
          <w:rFonts w:ascii="Times New Roman" w:hAnsi="Times New Roman" w:cs="Times New Roman"/>
          <w:color w:val="000000"/>
          <w:sz w:val="24"/>
          <w:szCs w:val="24"/>
        </w:rPr>
        <w:t>icrosoft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Word, prípadne použitím špecializovaných programov na počítanie slov a znakov v dokumentoch. Pri prekladoch spracovaných v iných aplikáciách sa počet znakov zistí po ich konverzii do prostredia M</w:t>
      </w:r>
      <w:r w:rsidR="00A3481E" w:rsidRPr="003050FA">
        <w:rPr>
          <w:rFonts w:ascii="Times New Roman" w:hAnsi="Times New Roman" w:cs="Times New Roman"/>
          <w:color w:val="000000"/>
          <w:sz w:val="24"/>
          <w:szCs w:val="24"/>
        </w:rPr>
        <w:t>icrosoft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Word alebo použitím špecializovaných programov na počítanie slov a znakov v dokumentoch.</w:t>
      </w:r>
    </w:p>
    <w:p w14:paraId="0D0F3869" w14:textId="6EE3C0CA" w:rsidR="003C5940" w:rsidRPr="00951783" w:rsidRDefault="003B695C" w:rsidP="00DB22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2" w:hanging="4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a prekladateľ sa môžu dohodnúť aj na alternatívnom spôsobe určenia počtu normostrán či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inom základe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výpočet odmeny (napr. sadzba za slovo, riadok,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segment, 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časová sadzba atď.).</w:t>
      </w:r>
    </w:p>
    <w:p w14:paraId="1BF3B9E9" w14:textId="53530520" w:rsidR="003C5940" w:rsidRPr="00951783" w:rsidRDefault="00874081" w:rsidP="00DB22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2" w:hanging="4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FA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 w:rsidR="003B695C"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a prekladateľ nedohodnú inak, na výpočet odmeny prekladateľa je rozhodujúci počet normostrán cieľového textu</w:t>
      </w:r>
      <w:r w:rsidR="003B695C" w:rsidRPr="003050FA">
        <w:rPr>
          <w:rFonts w:ascii="Times New Roman" w:hAnsi="Times New Roman" w:cs="Times New Roman"/>
          <w:color w:val="000000"/>
          <w:sz w:val="24"/>
          <w:szCs w:val="24"/>
        </w:rPr>
        <w:t>, teda prekladu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2FE819" w14:textId="5BAEC2B0" w:rsidR="003C5940" w:rsidRPr="00951783" w:rsidRDefault="003B695C" w:rsidP="00DB22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9" w:hanging="4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Zaokrúhľovanie na celé normostrany je vecou dohody medzi prekladateľom a zadávateľom. Bežnou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praxou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je zaokrúhľovanie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 nahor, teda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na najbližšiu celú 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lastRenderedPageBreak/>
        <w:t>normostranu. Avšak v prípade prekladov kratších ako jedna normostrana prináleží prekladateľovi odmena za celú normostranu.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 Pri prekladoch podľa zákona </w:t>
      </w:r>
      <w:r w:rsidR="0012018E" w:rsidRPr="003050FA">
        <w:rPr>
          <w:rFonts w:ascii="Times New Roman" w:hAnsi="Times New Roman" w:cs="Times New Roman"/>
          <w:color w:val="000000"/>
          <w:sz w:val="24"/>
          <w:szCs w:val="24"/>
        </w:rPr>
        <w:t>382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/2004 Z. z. je spôsob výpočtu odmeny prekladateľa stanovený vo vykonávacej vyhláške.</w:t>
      </w:r>
    </w:p>
    <w:p w14:paraId="78E7F9B8" w14:textId="716A565C" w:rsidR="003C5940" w:rsidRPr="00951783" w:rsidRDefault="003B695C" w:rsidP="009517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right="113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Pri prekladoch, ktorých povaha neumožňuje presné, spoľahlivé alebo zmysluplné zistenie počtu normostrán (napr. menené alebo aktualizované zdrojové dokumenty), prekladateľ a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sa môžu dohodnúť na paušálnej hodinovej sadzbe alebo na percente zo sadzby za normostranu. V prípade textov bez vyznačených zmien sa však účtuje rovnaká sadzba ako za preklad.</w:t>
      </w:r>
    </w:p>
    <w:p w14:paraId="766404BF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6170BCB" w14:textId="77777777" w:rsidR="003C5940" w:rsidRPr="003050FA" w:rsidRDefault="003B695C" w:rsidP="00951783">
      <w:pPr>
        <w:spacing w:after="12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Štandardný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výkon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prekladateľa,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zadanie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odovzdanie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prekladu</w:t>
      </w:r>
    </w:p>
    <w:p w14:paraId="6D2C670D" w14:textId="071D6383" w:rsidR="003C5940" w:rsidRPr="00951783" w:rsidRDefault="003B695C" w:rsidP="009517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Štandardným výkonom prekladateľa je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osem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normostrán na jeden pracovný deň. Jedným pracovným dňom sa rozumie časové obdobie ôsmich po sebe nasledujúcich hodín končiace najneskôr o 18.00 hod.</w:t>
      </w:r>
    </w:p>
    <w:p w14:paraId="5B7A44BF" w14:textId="250E0CAB" w:rsidR="003C5940" w:rsidRPr="00951783" w:rsidRDefault="003B695C" w:rsidP="009517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4" w:hanging="4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Deň zadania zdrojového textu prekladateľovi a deň doručenia cieľového textu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zadávateľovi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sa nepočíta do počtu dní, ktoré má prekladateľ na preklad k dispozícii.</w:t>
      </w:r>
    </w:p>
    <w:p w14:paraId="7CAC4A4B" w14:textId="5ABCFD4A" w:rsidR="003C5940" w:rsidRPr="00951783" w:rsidRDefault="003B695C" w:rsidP="009517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0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Vo výnimočných prípadoch, najmä s prihliadnutím na dlhodobý charakter spolupráce medzi prekladateľom a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, ak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doručí zdrojový text na preklad do 12.00 hod., deň zadania je možné započítať do počtu dní, ktoré mal prekladateľ na preklad k dispozícii. Rovnako, ak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požaduje odovzdanie cieľového textu po 12.00 hod. v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 požadovaný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deň odovzdania, deň odovzdania prekladu je možné započítať do počtu dní, ktoré mal prekladateľ na preklad k dispozícii.</w:t>
      </w:r>
    </w:p>
    <w:p w14:paraId="78AB2990" w14:textId="4912F7AE" w:rsidR="003C5940" w:rsidRPr="00951783" w:rsidRDefault="00874081" w:rsidP="009517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0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FA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r w:rsidR="003B695C"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u prekladateľa objedná preklad vopred s tým, že ho požiada, aby si rezervoval prekladateľskú kapacitu na konkrétny dátum alebo dátumy, ustanovenia </w:t>
      </w:r>
      <w:r w:rsidR="00950406" w:rsidRPr="003050FA">
        <w:rPr>
          <w:rFonts w:ascii="Times New Roman" w:hAnsi="Times New Roman" w:cs="Times New Roman"/>
          <w:color w:val="000000"/>
          <w:sz w:val="24"/>
          <w:szCs w:val="24"/>
        </w:rPr>
        <w:t>odsekov</w:t>
      </w:r>
      <w:r w:rsidR="003B695C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2 a 3 tohto článku sa nemusia uplatňovať.</w:t>
      </w:r>
    </w:p>
    <w:p w14:paraId="59665F24" w14:textId="5B1FA12E" w:rsidR="003C5940" w:rsidRPr="00951783" w:rsidRDefault="003B695C" w:rsidP="009517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right="108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Na určenie času zadania, resp. odovzdania prekladu je rozhodujúci čas doručenia zdrojového textu prekladateľovi, resp.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odoslania 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cieľového textu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zadávateľovi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, a to buď osobne, kuriérom, faxom, alebo elektronickou poštou.</w:t>
      </w:r>
    </w:p>
    <w:p w14:paraId="475CBC39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BADAFDF" w14:textId="77777777" w:rsidR="003C5940" w:rsidRPr="003050FA" w:rsidRDefault="003B695C" w:rsidP="00951783">
      <w:pPr>
        <w:spacing w:after="120"/>
        <w:ind w:left="17"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Prirážky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zľavy</w:t>
      </w:r>
    </w:p>
    <w:p w14:paraId="6140DDB2" w14:textId="635D9F63" w:rsidR="003C5940" w:rsidRPr="003050FA" w:rsidRDefault="003B695C" w:rsidP="009517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112" w:hanging="438"/>
        <w:jc w:val="both"/>
        <w:rPr>
          <w:rFonts w:ascii="Times New Roman" w:hAnsi="Times New Roman" w:cs="Times New Roman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Pri prekladoch nad počet </w:t>
      </w:r>
      <w:r w:rsidRPr="003050FA">
        <w:rPr>
          <w:rFonts w:ascii="Times New Roman" w:hAnsi="Times New Roman" w:cs="Times New Roman"/>
          <w:sz w:val="24"/>
          <w:szCs w:val="24"/>
        </w:rPr>
        <w:t>normostrán uvedený článku 4.1, ako aj pri prekladoch robených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cez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nepracovné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dni,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môže prekladateľ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>požadovať</w:t>
      </w:r>
      <w:r w:rsidRPr="00951783">
        <w:rPr>
          <w:rFonts w:ascii="Times New Roman" w:hAnsi="Times New Roman" w:cs="Times New Roman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sz w:val="24"/>
          <w:szCs w:val="24"/>
        </w:rPr>
        <w:t xml:space="preserve">prirážky v súlade s tabuľkou č. </w:t>
      </w:r>
      <w:r w:rsidR="00874081" w:rsidRPr="003050FA">
        <w:rPr>
          <w:rFonts w:ascii="Times New Roman" w:hAnsi="Times New Roman" w:cs="Times New Roman"/>
          <w:sz w:val="24"/>
          <w:szCs w:val="24"/>
        </w:rPr>
        <w:t xml:space="preserve">1. </w:t>
      </w:r>
      <w:r w:rsidRPr="003050FA">
        <w:rPr>
          <w:rFonts w:ascii="Times New Roman" w:hAnsi="Times New Roman" w:cs="Times New Roman"/>
          <w:sz w:val="24"/>
          <w:szCs w:val="24"/>
        </w:rPr>
        <w:t xml:space="preserve">Kumulácia jednotlivých prirážok je vecou dohody </w:t>
      </w:r>
      <w:r w:rsidR="00814284">
        <w:rPr>
          <w:rFonts w:ascii="Times New Roman" w:hAnsi="Times New Roman" w:cs="Times New Roman"/>
          <w:sz w:val="24"/>
          <w:szCs w:val="24"/>
        </w:rPr>
        <w:t xml:space="preserve">medzi </w:t>
      </w:r>
      <w:r w:rsidRPr="003050FA">
        <w:rPr>
          <w:rFonts w:ascii="Times New Roman" w:hAnsi="Times New Roman" w:cs="Times New Roman"/>
          <w:sz w:val="24"/>
          <w:szCs w:val="24"/>
        </w:rPr>
        <w:t>zadávateľ</w:t>
      </w:r>
      <w:r w:rsidR="00814284">
        <w:rPr>
          <w:rFonts w:ascii="Times New Roman" w:hAnsi="Times New Roman" w:cs="Times New Roman"/>
          <w:sz w:val="24"/>
          <w:szCs w:val="24"/>
        </w:rPr>
        <w:t>om</w:t>
      </w:r>
      <w:r w:rsidRPr="003050FA">
        <w:rPr>
          <w:rFonts w:ascii="Times New Roman" w:hAnsi="Times New Roman" w:cs="Times New Roman"/>
          <w:sz w:val="24"/>
          <w:szCs w:val="24"/>
        </w:rPr>
        <w:t xml:space="preserve"> a prekladateľ</w:t>
      </w:r>
      <w:r w:rsidR="00814284">
        <w:rPr>
          <w:rFonts w:ascii="Times New Roman" w:hAnsi="Times New Roman" w:cs="Times New Roman"/>
          <w:sz w:val="24"/>
          <w:szCs w:val="24"/>
        </w:rPr>
        <w:t>om</w:t>
      </w:r>
      <w:r w:rsidRPr="003050FA">
        <w:rPr>
          <w:rFonts w:ascii="Times New Roman" w:hAnsi="Times New Roman" w:cs="Times New Roman"/>
          <w:sz w:val="24"/>
          <w:szCs w:val="24"/>
        </w:rPr>
        <w:t>.</w:t>
      </w:r>
    </w:p>
    <w:p w14:paraId="1085CDC8" w14:textId="5F75A7C9" w:rsidR="003C5940" w:rsidRPr="00951783" w:rsidRDefault="003B695C" w:rsidP="009517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11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>Pri prekladoch, ktoré si vyžadujú grafické úpravy, konverziu alebo spracovanie v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aplikáciách </w:t>
      </w:r>
      <w:r w:rsidR="00874081" w:rsidRPr="00951783">
        <w:rPr>
          <w:rFonts w:ascii="Times New Roman" w:hAnsi="Times New Roman" w:cs="Times New Roman"/>
          <w:color w:val="000000"/>
          <w:sz w:val="24"/>
          <w:szCs w:val="24"/>
        </w:rPr>
        <w:t>iných</w:t>
      </w:r>
      <w:r w:rsidR="00874081" w:rsidRPr="003050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081"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než M</w:t>
      </w:r>
      <w:r w:rsidR="00950406" w:rsidRPr="003050FA">
        <w:rPr>
          <w:rFonts w:ascii="Times New Roman" w:hAnsi="Times New Roman" w:cs="Times New Roman"/>
          <w:color w:val="000000"/>
          <w:sz w:val="24"/>
          <w:szCs w:val="24"/>
        </w:rPr>
        <w:t>icrosoft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Word, alebo v prípade zle čitateľných zdrojových textov sa prekladateľ môže dohodnúť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so zadávateľom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na ďalších prirážkach či inej primeranej odmene.</w:t>
      </w:r>
    </w:p>
    <w:p w14:paraId="78343C82" w14:textId="77D8AAFC" w:rsidR="003C5940" w:rsidRPr="003050FA" w:rsidRDefault="003B695C" w:rsidP="009517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3" w:hanging="437"/>
        <w:jc w:val="both"/>
        <w:rPr>
          <w:rFonts w:ascii="Times New Roman" w:hAnsi="Times New Roman" w:cs="Times New Roman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S prihliadnutím na okolnosti, za ktorých bol preklad zadaný, sa prekladateľ môže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so zadávateľom </w:t>
      </w:r>
      <w:r w:rsidR="00874081" w:rsidRPr="00951783">
        <w:rPr>
          <w:rFonts w:ascii="Times New Roman" w:hAnsi="Times New Roman" w:cs="Times New Roman"/>
          <w:color w:val="000000"/>
          <w:sz w:val="24"/>
          <w:szCs w:val="24"/>
        </w:rPr>
        <w:t>dohodnúť</w:t>
      </w:r>
      <w:r w:rsidR="00874081"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na zľave zo základnej </w:t>
      </w:r>
      <w:r w:rsidRPr="003050FA">
        <w:rPr>
          <w:rFonts w:ascii="Times New Roman" w:hAnsi="Times New Roman" w:cs="Times New Roman"/>
          <w:sz w:val="24"/>
          <w:szCs w:val="24"/>
        </w:rPr>
        <w:t>sadzby za normostranu alebo na znížení, resp. neuplatnení prirážok.</w:t>
      </w:r>
    </w:p>
    <w:p w14:paraId="070232AD" w14:textId="378D7540" w:rsidR="003C5940" w:rsidRPr="003050FA" w:rsidRDefault="003B695C" w:rsidP="008D4D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right="113" w:hanging="437"/>
        <w:jc w:val="both"/>
        <w:rPr>
          <w:rFonts w:ascii="Times New Roman" w:hAnsi="Times New Roman" w:cs="Times New Roman"/>
          <w:sz w:val="24"/>
          <w:szCs w:val="24"/>
        </w:rPr>
      </w:pPr>
      <w:r w:rsidRPr="003050FA">
        <w:rPr>
          <w:rFonts w:ascii="Times New Roman" w:hAnsi="Times New Roman" w:cs="Times New Roman"/>
          <w:sz w:val="24"/>
          <w:szCs w:val="24"/>
        </w:rPr>
        <w:t xml:space="preserve">Ak zadávateľ požaduje, aby prekladateľ urobil preklad s použitím konkrétneho CAT nástroja a ak mu počas práce na zadanom preklade z vlastnej databázy cez CAT nástroj inštalovaný na zariadení prekladateľa sprístupní už preložené segmenty s tým, že </w:t>
      </w:r>
      <w:r w:rsidRPr="003050FA">
        <w:rPr>
          <w:rFonts w:ascii="Times New Roman" w:hAnsi="Times New Roman" w:cs="Times New Roman"/>
          <w:sz w:val="24"/>
          <w:szCs w:val="24"/>
        </w:rPr>
        <w:lastRenderedPageBreak/>
        <w:t xml:space="preserve">v prípade úplnej zhody nie sú </w:t>
      </w:r>
      <w:r w:rsidR="00874081" w:rsidRPr="003050FA">
        <w:rPr>
          <w:rFonts w:ascii="Times New Roman" w:hAnsi="Times New Roman" w:cs="Times New Roman"/>
          <w:sz w:val="24"/>
          <w:szCs w:val="24"/>
        </w:rPr>
        <w:t xml:space="preserve">takéto segmenty </w:t>
      </w:r>
      <w:r w:rsidRPr="003050FA">
        <w:rPr>
          <w:rFonts w:ascii="Times New Roman" w:hAnsi="Times New Roman" w:cs="Times New Roman"/>
          <w:sz w:val="24"/>
          <w:szCs w:val="24"/>
        </w:rPr>
        <w:t>predmetom prekladu, resp. ak mu sprístupní segmenty s vysokým percentom zhody, prípadná zľava za také</w:t>
      </w:r>
      <w:r w:rsidR="00874081" w:rsidRPr="003050FA">
        <w:rPr>
          <w:rFonts w:ascii="Times New Roman" w:hAnsi="Times New Roman" w:cs="Times New Roman"/>
          <w:sz w:val="24"/>
          <w:szCs w:val="24"/>
        </w:rPr>
        <w:t>to</w:t>
      </w:r>
      <w:r w:rsidRPr="003050FA">
        <w:rPr>
          <w:rFonts w:ascii="Times New Roman" w:hAnsi="Times New Roman" w:cs="Times New Roman"/>
          <w:sz w:val="24"/>
          <w:szCs w:val="24"/>
        </w:rPr>
        <w:t xml:space="preserve"> segmenty je vecou dohody medzi zadávateľom a prekladateľom. </w:t>
      </w:r>
    </w:p>
    <w:p w14:paraId="24420445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13AA9C84" w14:textId="77777777" w:rsidR="003C5940" w:rsidRPr="003050FA" w:rsidRDefault="003B695C" w:rsidP="00951783">
      <w:pPr>
        <w:spacing w:after="12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Kvalita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prekladov,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opravy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korektúry</w:t>
      </w:r>
    </w:p>
    <w:p w14:paraId="13433871" w14:textId="370FB858" w:rsidR="003C5940" w:rsidRPr="00951783" w:rsidRDefault="003B695C" w:rsidP="00DB2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1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Prekladateľ akceptuje na preklad len texty, ktoré je z hľadiska jazykového, terminologického a štylistického schopný kvalitne a zodpovedne preložiť. Ak si to povaha prekladu vyžaduje, prekladateľ má právo požiadať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zadávateľa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terminologické konzultácie.</w:t>
      </w:r>
    </w:p>
    <w:p w14:paraId="14D8FB47" w14:textId="213D2263" w:rsidR="003C5940" w:rsidRPr="00951783" w:rsidRDefault="003B695C" w:rsidP="00DB2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right="12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Ak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vyžaduje odbornú terminologickú alebo jazykovú korektúru prekladu, odmena korektora nie je súčasťou sadzby za preklad.</w:t>
      </w:r>
    </w:p>
    <w:p w14:paraId="632C9D6B" w14:textId="6725F7AD" w:rsidR="003C5940" w:rsidRPr="00951783" w:rsidRDefault="003B695C" w:rsidP="00DB2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right="10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Ak si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objedná opravu prekladu, prekladateľ posúdi kvalitu textu zadaného na opravu a navrhne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zadávateľovi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sadzbu za opravu, ktorá predstavuje minimálne 50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% základnej sadzby. Sadzba za opravu sa vzťahuje výhradne na preklady vypracované iným prekladateľom než tým, u ktorého si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opravu objednal.</w:t>
      </w:r>
    </w:p>
    <w:p w14:paraId="41A00EC7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3463BA44" w14:textId="77777777" w:rsidR="003C5940" w:rsidRPr="003050FA" w:rsidRDefault="003B695C" w:rsidP="00951783">
      <w:pPr>
        <w:spacing w:after="12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Zrušenie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objednávky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reklamácie</w:t>
      </w:r>
    </w:p>
    <w:p w14:paraId="70ED919A" w14:textId="71E50A81" w:rsidR="003C5940" w:rsidRPr="00951783" w:rsidRDefault="003B695C" w:rsidP="00951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9"/>
        </w:tabs>
        <w:spacing w:after="60"/>
        <w:ind w:right="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Ak z dôvodov, za ktoré prekladateľ nezodpovedá,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zruší už zadaný preklad, na ktorom prekladateľ začal pracovať, má prekladateľ nárok na zaplatenie odmeny za už preloženú časť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prekladu.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Prípadné storno poplatky sú vecou dohody medzi prekladateľom a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F7A50C" w14:textId="0790DCAE" w:rsidR="003C5940" w:rsidRPr="00951783" w:rsidRDefault="003B695C" w:rsidP="00951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9"/>
        </w:tabs>
        <w:spacing w:after="240"/>
        <w:ind w:right="108" w:hanging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Ak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odôvodnene reklamuje kvalitu dodaného prekladu, prekladateľ je povinný bez meškania a nároku na odplatu reklamovaný preklad opraviť. Prípadné zľavy z titulu reklamácie sú vecou dohody medzi prekladateľom a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83B0FA" w14:textId="77777777" w:rsidR="003C5940" w:rsidRPr="003050FA" w:rsidRDefault="003B695C" w:rsidP="00951783">
      <w:pPr>
        <w:spacing w:after="60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Článok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562924B6" w14:textId="77777777" w:rsidR="003C5940" w:rsidRPr="003050FA" w:rsidRDefault="003B695C" w:rsidP="00951783">
      <w:pPr>
        <w:spacing w:after="120"/>
        <w:ind w:lef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Autorské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práva</w:t>
      </w:r>
    </w:p>
    <w:p w14:paraId="0372354F" w14:textId="74505DD2" w:rsidR="003C5940" w:rsidRPr="00951783" w:rsidRDefault="003B695C" w:rsidP="00951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9"/>
        </w:tabs>
        <w:spacing w:after="120"/>
        <w:ind w:right="108" w:hanging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S výnimkou uvedenou v § 7 ods. 3 písm. b) zákona č. 618/2003 Z. z. je prekladateľ výhradným vlastníkom autorských práv na preklad. 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Zadávateľ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môže preklad verejne šíriť, resp. umožniť tretím osobám verejné šírenie prekladu</w:t>
      </w:r>
      <w:r w:rsidR="00A2038B" w:rsidRPr="003050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len s výslovným súhlasom prekladateľa.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 Uvedené neplatí v prípade prekladov podľa zákona 382/2004 Z. z. </w:t>
      </w:r>
    </w:p>
    <w:p w14:paraId="4F73CD59" w14:textId="465E03E9" w:rsidR="003C5940" w:rsidRPr="003050FA" w:rsidRDefault="003B695C" w:rsidP="00951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9"/>
        </w:tabs>
        <w:spacing w:after="120"/>
        <w:ind w:right="113" w:hanging="539"/>
        <w:jc w:val="both"/>
        <w:rPr>
          <w:rFonts w:ascii="Times New Roman" w:hAnsi="Times New Roman" w:cs="Times New Roman"/>
          <w:sz w:val="24"/>
          <w:szCs w:val="24"/>
        </w:rPr>
      </w:pP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Prekladateľ nie je povinný zisťovať, či zadaním prekladu neboli porušené autorské práva autora zdrojového textu, </w:t>
      </w:r>
      <w:r w:rsidR="007E50FB" w:rsidRPr="003050FA">
        <w:rPr>
          <w:rFonts w:ascii="Times New Roman" w:hAnsi="Times New Roman" w:cs="Times New Roman"/>
          <w:color w:val="000000"/>
          <w:sz w:val="24"/>
          <w:szCs w:val="24"/>
        </w:rPr>
        <w:t>pričom</w:t>
      </w:r>
      <w:r w:rsidRPr="00951783">
        <w:rPr>
          <w:rFonts w:ascii="Times New Roman" w:hAnsi="Times New Roman" w:cs="Times New Roman"/>
          <w:color w:val="000000"/>
          <w:sz w:val="24"/>
          <w:szCs w:val="24"/>
        </w:rPr>
        <w:t xml:space="preserve"> nenesie za ich prípadné porušenie žiadnu </w:t>
      </w:r>
      <w:r w:rsidRPr="00951783">
        <w:rPr>
          <w:rFonts w:ascii="Times New Roman" w:hAnsi="Times New Roman" w:cs="Times New Roman"/>
          <w:sz w:val="24"/>
          <w:szCs w:val="24"/>
        </w:rPr>
        <w:t>zodpovednosť.</w:t>
      </w:r>
    </w:p>
    <w:p w14:paraId="2899AB45" w14:textId="342E8AED" w:rsidR="003C5940" w:rsidRPr="003050FA" w:rsidRDefault="002A1EB7" w:rsidP="0067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9"/>
        </w:tabs>
        <w:spacing w:after="60"/>
        <w:ind w:right="113"/>
        <w:jc w:val="both"/>
        <w:rPr>
          <w:rFonts w:ascii="Times New Roman" w:hAnsi="Times New Roman" w:cs="Times New Roman"/>
          <w:sz w:val="24"/>
          <w:szCs w:val="24"/>
        </w:rPr>
        <w:sectPr w:rsidR="003C5940" w:rsidRPr="003050FA" w:rsidSect="001D1EC8">
          <w:headerReference w:type="default" r:id="rId8"/>
          <w:footerReference w:type="default" r:id="rId9"/>
          <w:pgSz w:w="11910" w:h="16840"/>
          <w:pgMar w:top="1276" w:right="1360" w:bottom="980" w:left="1460" w:header="426" w:footer="783" w:gutter="0"/>
          <w:pgNumType w:start="1"/>
          <w:cols w:space="720"/>
        </w:sectPr>
      </w:pPr>
      <w:r w:rsidRPr="003050FA">
        <w:rPr>
          <w:rFonts w:ascii="Times New Roman" w:hAnsi="Times New Roman" w:cs="Times New Roman"/>
          <w:sz w:val="24"/>
          <w:szCs w:val="24"/>
        </w:rPr>
        <w:t>Držiteľom</w:t>
      </w:r>
      <w:r w:rsidR="003B695C" w:rsidRPr="003050FA">
        <w:rPr>
          <w:rFonts w:ascii="Times New Roman" w:hAnsi="Times New Roman" w:cs="Times New Roman"/>
          <w:sz w:val="24"/>
          <w:szCs w:val="24"/>
        </w:rPr>
        <w:t xml:space="preserve"> autorských práv k databázam, glosárom a iným terminologickým zdrojom vytvoreným prekladateľom v CAT nástrojoch alebo iných aplikáciách, ktoré prekladateľ vlastní alebo ku ktorým má licenciu a ktoré sú inštalované na jeho zariadeniach, vrátane </w:t>
      </w:r>
      <w:proofErr w:type="spellStart"/>
      <w:r w:rsidR="003B695C" w:rsidRPr="003050FA">
        <w:rPr>
          <w:rFonts w:ascii="Times New Roman" w:hAnsi="Times New Roman" w:cs="Times New Roman"/>
          <w:sz w:val="24"/>
          <w:szCs w:val="24"/>
        </w:rPr>
        <w:t>cloudu</w:t>
      </w:r>
      <w:proofErr w:type="spellEnd"/>
      <w:r w:rsidR="003B695C" w:rsidRPr="003050FA">
        <w:rPr>
          <w:rFonts w:ascii="Times New Roman" w:hAnsi="Times New Roman" w:cs="Times New Roman"/>
          <w:sz w:val="24"/>
          <w:szCs w:val="24"/>
        </w:rPr>
        <w:t>, je výlučne prekladateľ.</w:t>
      </w:r>
    </w:p>
    <w:p w14:paraId="08F4AF24" w14:textId="6CB5B840" w:rsidR="003C5940" w:rsidRPr="003050FA" w:rsidRDefault="003B695C" w:rsidP="00951783">
      <w:pPr>
        <w:spacing w:after="6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FA">
        <w:rPr>
          <w:rFonts w:ascii="Times New Roman" w:hAnsi="Times New Roman" w:cs="Times New Roman"/>
          <w:b/>
          <w:sz w:val="24"/>
          <w:szCs w:val="24"/>
        </w:rPr>
        <w:t>Tabuľka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1: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Prirážky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k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základnej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sadzbe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FA">
        <w:rPr>
          <w:rFonts w:ascii="Times New Roman" w:hAnsi="Times New Roman" w:cs="Times New Roman"/>
          <w:b/>
          <w:sz w:val="24"/>
          <w:szCs w:val="24"/>
        </w:rPr>
        <w:t>za</w:t>
      </w:r>
      <w:r w:rsidRPr="00951783">
        <w:rPr>
          <w:rFonts w:ascii="Times New Roman" w:hAnsi="Times New Roman" w:cs="Times New Roman"/>
          <w:b/>
          <w:sz w:val="24"/>
          <w:szCs w:val="24"/>
        </w:rPr>
        <w:t xml:space="preserve"> normostranu</w:t>
      </w:r>
    </w:p>
    <w:p w14:paraId="2DEFADF4" w14:textId="77777777" w:rsidR="003C5940" w:rsidRPr="00951783" w:rsidRDefault="003C5940" w:rsidP="00951783">
      <w:pPr>
        <w:pBdr>
          <w:top w:val="nil"/>
          <w:left w:val="nil"/>
          <w:bottom w:val="nil"/>
          <w:right w:val="nil"/>
          <w:between w:val="nil"/>
        </w:pBdr>
        <w:spacing w:after="60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3285"/>
      </w:tblGrid>
      <w:tr w:rsidR="003C5940" w:rsidRPr="003050FA" w14:paraId="666951DD" w14:textId="77777777" w:rsidTr="00951783">
        <w:trPr>
          <w:trHeight w:val="482"/>
        </w:trPr>
        <w:tc>
          <w:tcPr>
            <w:tcW w:w="7938" w:type="dxa"/>
            <w:gridSpan w:val="2"/>
            <w:vAlign w:val="center"/>
          </w:tcPr>
          <w:p w14:paraId="5EF1341E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Rýchlostné prirážky</w:t>
            </w:r>
          </w:p>
        </w:tc>
      </w:tr>
      <w:tr w:rsidR="003C5940" w:rsidRPr="003050FA" w14:paraId="1B866C8D" w14:textId="77777777" w:rsidTr="00951783">
        <w:trPr>
          <w:trHeight w:val="481"/>
        </w:trPr>
        <w:tc>
          <w:tcPr>
            <w:tcW w:w="4653" w:type="dxa"/>
            <w:vAlign w:val="center"/>
          </w:tcPr>
          <w:p w14:paraId="71768BDC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normostrán (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5" w:type="dxa"/>
            <w:vAlign w:val="center"/>
          </w:tcPr>
          <w:p w14:paraId="6BE06B6F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Prirážka</w:t>
            </w:r>
          </w:p>
        </w:tc>
      </w:tr>
      <w:tr w:rsidR="003C5940" w:rsidRPr="003050FA" w14:paraId="5E12EC5A" w14:textId="77777777" w:rsidTr="00951783">
        <w:trPr>
          <w:trHeight w:val="484"/>
        </w:trPr>
        <w:tc>
          <w:tcPr>
            <w:tcW w:w="4653" w:type="dxa"/>
            <w:vAlign w:val="center"/>
          </w:tcPr>
          <w:p w14:paraId="0EFF0E01" w14:textId="1A650676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3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/deň</w:t>
            </w:r>
          </w:p>
        </w:tc>
        <w:tc>
          <w:tcPr>
            <w:tcW w:w="3285" w:type="dxa"/>
            <w:vAlign w:val="center"/>
          </w:tcPr>
          <w:p w14:paraId="69C8F95A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3C5940" w:rsidRPr="003050FA" w14:paraId="2E0A7617" w14:textId="77777777" w:rsidTr="00951783">
        <w:trPr>
          <w:trHeight w:val="482"/>
        </w:trPr>
        <w:tc>
          <w:tcPr>
            <w:tcW w:w="4653" w:type="dxa"/>
            <w:vAlign w:val="center"/>
          </w:tcPr>
          <w:p w14:paraId="17021FCD" w14:textId="30B58BC6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12 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/deň</w:t>
            </w:r>
          </w:p>
        </w:tc>
        <w:tc>
          <w:tcPr>
            <w:tcW w:w="3285" w:type="dxa"/>
            <w:vAlign w:val="center"/>
          </w:tcPr>
          <w:p w14:paraId="478AAC8D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50 %</w:t>
            </w:r>
          </w:p>
        </w:tc>
      </w:tr>
      <w:tr w:rsidR="003C5940" w:rsidRPr="003050FA" w14:paraId="20B5FC47" w14:textId="77777777" w:rsidTr="00951783">
        <w:trPr>
          <w:trHeight w:val="484"/>
        </w:trPr>
        <w:tc>
          <w:tcPr>
            <w:tcW w:w="4653" w:type="dxa"/>
            <w:vAlign w:val="center"/>
          </w:tcPr>
          <w:p w14:paraId="6261142A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– 16 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/deň</w:t>
            </w:r>
          </w:p>
        </w:tc>
        <w:tc>
          <w:tcPr>
            <w:tcW w:w="3285" w:type="dxa"/>
            <w:vAlign w:val="center"/>
          </w:tcPr>
          <w:p w14:paraId="414F77DC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3C5940" w:rsidRPr="003050FA" w14:paraId="06D7E6CE" w14:textId="77777777" w:rsidTr="00951783">
        <w:trPr>
          <w:trHeight w:val="482"/>
        </w:trPr>
        <w:tc>
          <w:tcPr>
            <w:tcW w:w="4653" w:type="dxa"/>
            <w:vAlign w:val="center"/>
          </w:tcPr>
          <w:p w14:paraId="009C02F8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– 20 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/deň</w:t>
            </w:r>
          </w:p>
        </w:tc>
        <w:tc>
          <w:tcPr>
            <w:tcW w:w="3285" w:type="dxa"/>
            <w:vAlign w:val="center"/>
          </w:tcPr>
          <w:p w14:paraId="7C2A8908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150 %</w:t>
            </w:r>
          </w:p>
        </w:tc>
      </w:tr>
      <w:tr w:rsidR="003C5940" w:rsidRPr="003050FA" w14:paraId="5DCE4878" w14:textId="77777777" w:rsidTr="00951783">
        <w:trPr>
          <w:trHeight w:val="484"/>
        </w:trPr>
        <w:tc>
          <w:tcPr>
            <w:tcW w:w="4653" w:type="dxa"/>
            <w:vAlign w:val="center"/>
          </w:tcPr>
          <w:p w14:paraId="23BE2542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 21 </w:t>
            </w:r>
            <w:proofErr w:type="spellStart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  <w:proofErr w:type="spellEnd"/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/deň</w:t>
            </w:r>
          </w:p>
        </w:tc>
        <w:tc>
          <w:tcPr>
            <w:tcW w:w="3285" w:type="dxa"/>
            <w:vAlign w:val="center"/>
          </w:tcPr>
          <w:p w14:paraId="50A82633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200 %</w:t>
            </w:r>
          </w:p>
        </w:tc>
      </w:tr>
      <w:tr w:rsidR="003C5940" w:rsidRPr="003050FA" w14:paraId="3504665D" w14:textId="77777777" w:rsidTr="00951783">
        <w:trPr>
          <w:trHeight w:val="481"/>
        </w:trPr>
        <w:tc>
          <w:tcPr>
            <w:tcW w:w="7938" w:type="dxa"/>
            <w:gridSpan w:val="2"/>
            <w:tcBorders>
              <w:left w:val="nil"/>
              <w:right w:val="nil"/>
            </w:tcBorders>
            <w:vAlign w:val="center"/>
          </w:tcPr>
          <w:p w14:paraId="4DBF0A8B" w14:textId="77777777" w:rsidR="003C5940" w:rsidRPr="00951783" w:rsidRDefault="003C5940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940" w:rsidRPr="003050FA" w14:paraId="688EBA40" w14:textId="77777777" w:rsidTr="00951783">
        <w:trPr>
          <w:trHeight w:val="484"/>
        </w:trPr>
        <w:tc>
          <w:tcPr>
            <w:tcW w:w="7938" w:type="dxa"/>
            <w:gridSpan w:val="2"/>
            <w:vAlign w:val="center"/>
          </w:tcPr>
          <w:p w14:paraId="04D7DEE5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Ostatné prirážky</w:t>
            </w:r>
          </w:p>
        </w:tc>
      </w:tr>
      <w:tr w:rsidR="003C5940" w:rsidRPr="003050FA" w14:paraId="333E531E" w14:textId="77777777" w:rsidTr="00951783">
        <w:trPr>
          <w:trHeight w:val="482"/>
        </w:trPr>
        <w:tc>
          <w:tcPr>
            <w:tcW w:w="4653" w:type="dxa"/>
            <w:vAlign w:val="center"/>
          </w:tcPr>
          <w:p w14:paraId="468C18E5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Práca v sobotu, nedeľu a vo sviatok</w:t>
            </w:r>
          </w:p>
        </w:tc>
        <w:tc>
          <w:tcPr>
            <w:tcW w:w="3285" w:type="dxa"/>
            <w:vAlign w:val="center"/>
          </w:tcPr>
          <w:p w14:paraId="07A3D566" w14:textId="57C69ED3" w:rsidR="003C5940" w:rsidRPr="00951783" w:rsidRDefault="002A1EB7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B695C" w:rsidRPr="003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B695C"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C5940" w:rsidRPr="003050FA" w14:paraId="3C1FC339" w14:textId="77777777" w:rsidTr="00951783">
        <w:trPr>
          <w:trHeight w:val="726"/>
        </w:trPr>
        <w:tc>
          <w:tcPr>
            <w:tcW w:w="4653" w:type="dxa"/>
            <w:vAlign w:val="center"/>
          </w:tcPr>
          <w:p w14:paraId="79076E0D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Bleskové preklady (odovzdané v deň zadania)</w:t>
            </w:r>
          </w:p>
        </w:tc>
        <w:tc>
          <w:tcPr>
            <w:tcW w:w="3285" w:type="dxa"/>
            <w:vAlign w:val="center"/>
          </w:tcPr>
          <w:p w14:paraId="2D15E5DB" w14:textId="77777777" w:rsidR="003C5940" w:rsidRPr="00951783" w:rsidRDefault="003B695C" w:rsidP="0095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14:paraId="2991322F" w14:textId="77777777" w:rsidR="003C5940" w:rsidRPr="003050FA" w:rsidRDefault="003C5940" w:rsidP="00670A6D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EF60183" w14:textId="77777777" w:rsidR="002A1EB7" w:rsidRPr="003050FA" w:rsidRDefault="002A1EB7" w:rsidP="00670A6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4DD7D" w14:textId="47FCD6BA" w:rsidR="002A1EB7" w:rsidRPr="003050FA" w:rsidRDefault="002A1EB7" w:rsidP="00670A6D">
      <w:pPr>
        <w:widowControl/>
        <w:pBdr>
          <w:top w:val="nil"/>
          <w:left w:val="nil"/>
          <w:bottom w:val="single" w:sz="6" w:space="1" w:color="auto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64B02" w14:textId="77777777" w:rsidR="00C159D4" w:rsidRDefault="00C159D4" w:rsidP="00FE21F8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EEBB2" w14:textId="56A89C70" w:rsidR="003C5940" w:rsidRPr="003050FA" w:rsidRDefault="003B695C" w:rsidP="00FE21F8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0FA"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="002A1EB7" w:rsidRPr="003050FA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3050FA">
        <w:rPr>
          <w:rFonts w:ascii="Times New Roman" w:hAnsi="Times New Roman" w:cs="Times New Roman"/>
          <w:color w:val="000000"/>
          <w:sz w:val="24"/>
          <w:szCs w:val="24"/>
        </w:rPr>
        <w:t>tandardné podmienky poskytovania prekladateľských služieb, ktoré nahrádzajú ich predchádzajúce verzie, schválilo valné zhromaždenie SAPT dňa 18. marca 2024.</w:t>
      </w:r>
    </w:p>
    <w:p w14:paraId="02E4F578" w14:textId="77777777" w:rsidR="003C5940" w:rsidRPr="003050FA" w:rsidRDefault="003C5940" w:rsidP="00951783">
      <w:pPr>
        <w:spacing w:after="60"/>
        <w:rPr>
          <w:rFonts w:ascii="Times New Roman" w:hAnsi="Times New Roman" w:cs="Times New Roman"/>
          <w:sz w:val="24"/>
          <w:szCs w:val="24"/>
        </w:rPr>
      </w:pPr>
    </w:p>
    <w:sectPr w:rsidR="003C5940" w:rsidRPr="003050FA">
      <w:pgSz w:w="11910" w:h="16840"/>
      <w:pgMar w:top="2000" w:right="1360" w:bottom="980" w:left="1460" w:header="591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24B7" w14:textId="77777777" w:rsidR="00DE57DF" w:rsidRDefault="00DE57DF">
      <w:r>
        <w:separator/>
      </w:r>
    </w:p>
  </w:endnote>
  <w:endnote w:type="continuationSeparator" w:id="0">
    <w:p w14:paraId="3E56B091" w14:textId="77777777" w:rsidR="00DE57DF" w:rsidRDefault="00DE57DF">
      <w:r>
        <w:continuationSeparator/>
      </w:r>
    </w:p>
  </w:endnote>
  <w:endnote w:type="continuationNotice" w:id="1">
    <w:p w14:paraId="5B46A683" w14:textId="77777777" w:rsidR="00DE57DF" w:rsidRDefault="00DE5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5464" w14:textId="35804103" w:rsidR="003C5940" w:rsidRPr="00951783" w:rsidRDefault="003B695C" w:rsidP="0095178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0BFAAAE5" wp14:editId="2A7AD940">
              <wp:simplePos x="0" y="0"/>
              <wp:positionH relativeFrom="column">
                <wp:posOffset>2794000</wp:posOffset>
              </wp:positionH>
              <wp:positionV relativeFrom="paragraph">
                <wp:posOffset>10033000</wp:posOffset>
              </wp:positionV>
              <wp:extent cx="188595" cy="198755"/>
              <wp:effectExtent l="0" t="0" r="0" b="0"/>
              <wp:wrapNone/>
              <wp:docPr id="2009470864" name="Obdĺžnik 2009470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1228" y="3690148"/>
                        <a:ext cx="1695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FF0D0" w14:textId="77777777" w:rsidR="003C5940" w:rsidRDefault="003B695C">
                          <w:pPr>
                            <w:spacing w:before="17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FAAAE5" id="Obdĺžnik 2009470864" o:spid="_x0000_s1026" style="position:absolute;margin-left:220pt;margin-top:790pt;width:14.85pt;height:15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" filled="f" stroked="f">
              <v:textbox inset="0,0,0,0">
                <w:txbxContent>
                  <w:p w14:paraId="532FF0D0" w14:textId="77777777" w:rsidR="003C5940" w:rsidRDefault="003B695C">
                    <w:pPr>
                      <w:spacing w:before="17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C51" w14:textId="77777777" w:rsidR="00DE57DF" w:rsidRDefault="00DE57DF">
      <w:r>
        <w:separator/>
      </w:r>
    </w:p>
  </w:footnote>
  <w:footnote w:type="continuationSeparator" w:id="0">
    <w:p w14:paraId="4836D3A9" w14:textId="77777777" w:rsidR="00DE57DF" w:rsidRDefault="00DE57DF">
      <w:r>
        <w:continuationSeparator/>
      </w:r>
    </w:p>
  </w:footnote>
  <w:footnote w:type="continuationNotice" w:id="1">
    <w:p w14:paraId="3D9166AA" w14:textId="77777777" w:rsidR="00DE57DF" w:rsidRDefault="00DE5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D8D6" w14:textId="18A3718A" w:rsidR="000D6EFE" w:rsidRDefault="001D1EC8" w:rsidP="001D1EC8">
    <w:pPr>
      <w:pBdr>
        <w:top w:val="nil"/>
        <w:left w:val="nil"/>
        <w:bottom w:val="nil"/>
        <w:right w:val="nil"/>
        <w:between w:val="nil"/>
      </w:pBdr>
      <w:tabs>
        <w:tab w:val="left" w:pos="1673"/>
        <w:tab w:val="center" w:pos="4545"/>
        <w:tab w:val="center" w:pos="4680"/>
        <w:tab w:val="right" w:pos="9360"/>
      </w:tabs>
      <w:spacing w:after="12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0D6EFE">
      <w:rPr>
        <w:noProof/>
        <w:color w:val="000000"/>
      </w:rPr>
      <w:drawing>
        <wp:inline distT="0" distB="0" distL="0" distR="0" wp14:anchorId="67C5D443" wp14:editId="2B6D0AA6">
          <wp:extent cx="428535" cy="443614"/>
          <wp:effectExtent l="0" t="0" r="0" b="0"/>
          <wp:docPr id="792345544" name="image1.jpg" descr="Obrázok, na ktorom je písmo, grafika, logo, kruh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ázok, na ktorom je písmo, grafika, logo, kruh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535" cy="44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C5F7F4" w14:textId="5376F4E8" w:rsidR="000D6EFE" w:rsidRDefault="000D6EFE" w:rsidP="000D6EFE">
    <w:pPr>
      <w:pStyle w:val="Hlavika"/>
      <w:jc w:val="center"/>
      <w:rPr>
        <w:b/>
        <w:color w:val="002060"/>
      </w:rPr>
    </w:pPr>
    <w:r>
      <w:rPr>
        <w:b/>
        <w:color w:val="002060"/>
      </w:rPr>
      <w:t>SLOVENSKÁ ASOCIÁCIA PREKLADATEĽOV A</w:t>
    </w:r>
    <w:r w:rsidR="001D1EC8">
      <w:rPr>
        <w:b/>
        <w:color w:val="002060"/>
      </w:rPr>
      <w:t> </w:t>
    </w:r>
    <w:r>
      <w:rPr>
        <w:b/>
        <w:color w:val="002060"/>
      </w:rPr>
      <w:t>TLMOČNÍKOV</w:t>
    </w:r>
  </w:p>
  <w:p w14:paraId="335D7BD9" w14:textId="6FF797D9" w:rsidR="001D1EC8" w:rsidRDefault="001D1EC8" w:rsidP="000D6EFE">
    <w:pPr>
      <w:pStyle w:val="Hlavika"/>
      <w:jc w:val="center"/>
      <w:rPr>
        <w:b/>
        <w:color w:val="002060"/>
      </w:rPr>
    </w:pPr>
    <w:r>
      <w:rPr>
        <w:b/>
        <w:color w:val="002060"/>
      </w:rPr>
      <w:t>__________________________________________________________</w:t>
    </w:r>
  </w:p>
  <w:p w14:paraId="7D16ABEA" w14:textId="47501FE3" w:rsidR="001D1EC8" w:rsidRDefault="001D1EC8" w:rsidP="001D1EC8">
    <w:pPr>
      <w:pStyle w:val="Hlavika"/>
    </w:pPr>
  </w:p>
  <w:p w14:paraId="0AE33767" w14:textId="77777777" w:rsidR="000D6EFE" w:rsidRDefault="000D6E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6A0"/>
    <w:multiLevelType w:val="hybridMultilevel"/>
    <w:tmpl w:val="226C03F4"/>
    <w:lvl w:ilvl="0" w:tplc="EDA69FA6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0FFC9120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FA961138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00344924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7728CCCC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49466FC8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C660F69E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AF8C13AE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792C097A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1" w15:restartNumberingAfterBreak="0">
    <w:nsid w:val="00F44C41"/>
    <w:multiLevelType w:val="hybridMultilevel"/>
    <w:tmpl w:val="21E0E684"/>
    <w:lvl w:ilvl="0" w:tplc="1348369A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0102E6F2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9000E002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5C7EB394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A3A6B96C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FC109F10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9EBE89F0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20920CA8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F072D27C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2" w15:restartNumberingAfterBreak="0">
    <w:nsid w:val="067569C6"/>
    <w:multiLevelType w:val="multilevel"/>
    <w:tmpl w:val="9292630A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3" w15:restartNumberingAfterBreak="0">
    <w:nsid w:val="106233B6"/>
    <w:multiLevelType w:val="hybridMultilevel"/>
    <w:tmpl w:val="22E4FDBA"/>
    <w:lvl w:ilvl="0" w:tplc="4CBE827C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3E6C1EDC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3EC22B96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7234C024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C79425E2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A202A20A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C45EE6C2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4216AEB6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F96070D2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4" w15:restartNumberingAfterBreak="0">
    <w:nsid w:val="256D76AC"/>
    <w:multiLevelType w:val="hybridMultilevel"/>
    <w:tmpl w:val="DCECDB7C"/>
    <w:lvl w:ilvl="0" w:tplc="E3D87440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1EAE544E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95148B5C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B352F048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A0B02B8E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3CFAD61E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DAC43134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02A6FB84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C1766A16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5" w15:restartNumberingAfterBreak="0">
    <w:nsid w:val="37DD4A3A"/>
    <w:multiLevelType w:val="hybridMultilevel"/>
    <w:tmpl w:val="979E0F02"/>
    <w:lvl w:ilvl="0" w:tplc="FE72E114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72E07946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102EF51C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B42A5D84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F87A184E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D1CE77BA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8D92B2D4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05BAFD0C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47A02E2A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6" w15:restartNumberingAfterBreak="0">
    <w:nsid w:val="3C3D2B8D"/>
    <w:multiLevelType w:val="hybridMultilevel"/>
    <w:tmpl w:val="E8440D1A"/>
    <w:lvl w:ilvl="0" w:tplc="DEB20526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CBD68C68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1C9C1614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81727A78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E732E6E2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1CFA0AF4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B33E0732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547EF0DA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87F8A7F6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abstractNum w:abstractNumId="7" w15:restartNumberingAfterBreak="0">
    <w:nsid w:val="3DDC4F46"/>
    <w:multiLevelType w:val="multilevel"/>
    <w:tmpl w:val="A1A24466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8" w15:restartNumberingAfterBreak="0">
    <w:nsid w:val="472352D5"/>
    <w:multiLevelType w:val="multilevel"/>
    <w:tmpl w:val="742C208E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9" w15:restartNumberingAfterBreak="0">
    <w:nsid w:val="47BF4058"/>
    <w:multiLevelType w:val="multilevel"/>
    <w:tmpl w:val="A698BBE0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10" w15:restartNumberingAfterBreak="0">
    <w:nsid w:val="4BDD29A3"/>
    <w:multiLevelType w:val="multilevel"/>
    <w:tmpl w:val="DD302D22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11" w15:restartNumberingAfterBreak="0">
    <w:nsid w:val="4CE40738"/>
    <w:multiLevelType w:val="multilevel"/>
    <w:tmpl w:val="2DEC2A1C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12" w15:restartNumberingAfterBreak="0">
    <w:nsid w:val="67FE3E11"/>
    <w:multiLevelType w:val="multilevel"/>
    <w:tmpl w:val="BA24A398"/>
    <w:lvl w:ilvl="0">
      <w:start w:val="1"/>
      <w:numFmt w:val="decimal"/>
      <w:lvlText w:val="%1."/>
      <w:lvlJc w:val="left"/>
      <w:pPr>
        <w:ind w:left="669" w:hanging="540"/>
      </w:pPr>
      <w:rPr>
        <w:rFonts w:ascii="Times New Roman" w:eastAsia="Verdana" w:hAnsi="Times New Roman" w:cs="Verdana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502" w:hanging="540"/>
      </w:pPr>
    </w:lvl>
    <w:lvl w:ilvl="2">
      <w:numFmt w:val="bullet"/>
      <w:lvlText w:val="•"/>
      <w:lvlJc w:val="left"/>
      <w:pPr>
        <w:ind w:left="2345" w:hanging="540"/>
      </w:pPr>
    </w:lvl>
    <w:lvl w:ilvl="3">
      <w:numFmt w:val="bullet"/>
      <w:lvlText w:val="•"/>
      <w:lvlJc w:val="left"/>
      <w:pPr>
        <w:ind w:left="3187" w:hanging="540"/>
      </w:pPr>
    </w:lvl>
    <w:lvl w:ilvl="4">
      <w:numFmt w:val="bullet"/>
      <w:lvlText w:val="•"/>
      <w:lvlJc w:val="left"/>
      <w:pPr>
        <w:ind w:left="4030" w:hanging="540"/>
      </w:pPr>
    </w:lvl>
    <w:lvl w:ilvl="5">
      <w:numFmt w:val="bullet"/>
      <w:lvlText w:val="•"/>
      <w:lvlJc w:val="left"/>
      <w:pPr>
        <w:ind w:left="4873" w:hanging="540"/>
      </w:pPr>
    </w:lvl>
    <w:lvl w:ilvl="6">
      <w:numFmt w:val="bullet"/>
      <w:lvlText w:val="•"/>
      <w:lvlJc w:val="left"/>
      <w:pPr>
        <w:ind w:left="5715" w:hanging="540"/>
      </w:pPr>
    </w:lvl>
    <w:lvl w:ilvl="7">
      <w:numFmt w:val="bullet"/>
      <w:lvlText w:val="•"/>
      <w:lvlJc w:val="left"/>
      <w:pPr>
        <w:ind w:left="6558" w:hanging="540"/>
      </w:pPr>
    </w:lvl>
    <w:lvl w:ilvl="8">
      <w:numFmt w:val="bullet"/>
      <w:lvlText w:val="•"/>
      <w:lvlJc w:val="left"/>
      <w:pPr>
        <w:ind w:left="7401" w:hanging="540"/>
      </w:pPr>
    </w:lvl>
  </w:abstractNum>
  <w:abstractNum w:abstractNumId="13" w15:restartNumberingAfterBreak="0">
    <w:nsid w:val="7DD36550"/>
    <w:multiLevelType w:val="hybridMultilevel"/>
    <w:tmpl w:val="F8462D02"/>
    <w:lvl w:ilvl="0" w:tplc="262E27E4">
      <w:start w:val="1"/>
      <w:numFmt w:val="decimal"/>
      <w:lvlText w:val="%1."/>
      <w:lvlJc w:val="left"/>
      <w:pPr>
        <w:ind w:left="669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D0B2BFD6">
      <w:numFmt w:val="bullet"/>
      <w:lvlText w:val="•"/>
      <w:lvlJc w:val="left"/>
      <w:pPr>
        <w:ind w:left="1502" w:hanging="540"/>
      </w:pPr>
      <w:rPr>
        <w:rFonts w:hint="default"/>
        <w:lang w:val="sk-SK" w:eastAsia="en-US" w:bidi="ar-SA"/>
      </w:rPr>
    </w:lvl>
    <w:lvl w:ilvl="2" w:tplc="17A69F28">
      <w:numFmt w:val="bullet"/>
      <w:lvlText w:val="•"/>
      <w:lvlJc w:val="left"/>
      <w:pPr>
        <w:ind w:left="2345" w:hanging="540"/>
      </w:pPr>
      <w:rPr>
        <w:rFonts w:hint="default"/>
        <w:lang w:val="sk-SK" w:eastAsia="en-US" w:bidi="ar-SA"/>
      </w:rPr>
    </w:lvl>
    <w:lvl w:ilvl="3" w:tplc="4F9EAFD0">
      <w:numFmt w:val="bullet"/>
      <w:lvlText w:val="•"/>
      <w:lvlJc w:val="left"/>
      <w:pPr>
        <w:ind w:left="3187" w:hanging="540"/>
      </w:pPr>
      <w:rPr>
        <w:rFonts w:hint="default"/>
        <w:lang w:val="sk-SK" w:eastAsia="en-US" w:bidi="ar-SA"/>
      </w:rPr>
    </w:lvl>
    <w:lvl w:ilvl="4" w:tplc="4BAC530A">
      <w:numFmt w:val="bullet"/>
      <w:lvlText w:val="•"/>
      <w:lvlJc w:val="left"/>
      <w:pPr>
        <w:ind w:left="4030" w:hanging="540"/>
      </w:pPr>
      <w:rPr>
        <w:rFonts w:hint="default"/>
        <w:lang w:val="sk-SK" w:eastAsia="en-US" w:bidi="ar-SA"/>
      </w:rPr>
    </w:lvl>
    <w:lvl w:ilvl="5" w:tplc="108C31A0">
      <w:numFmt w:val="bullet"/>
      <w:lvlText w:val="•"/>
      <w:lvlJc w:val="left"/>
      <w:pPr>
        <w:ind w:left="4873" w:hanging="540"/>
      </w:pPr>
      <w:rPr>
        <w:rFonts w:hint="default"/>
        <w:lang w:val="sk-SK" w:eastAsia="en-US" w:bidi="ar-SA"/>
      </w:rPr>
    </w:lvl>
    <w:lvl w:ilvl="6" w:tplc="2110E250">
      <w:numFmt w:val="bullet"/>
      <w:lvlText w:val="•"/>
      <w:lvlJc w:val="left"/>
      <w:pPr>
        <w:ind w:left="5715" w:hanging="540"/>
      </w:pPr>
      <w:rPr>
        <w:rFonts w:hint="default"/>
        <w:lang w:val="sk-SK" w:eastAsia="en-US" w:bidi="ar-SA"/>
      </w:rPr>
    </w:lvl>
    <w:lvl w:ilvl="7" w:tplc="B284E032">
      <w:numFmt w:val="bullet"/>
      <w:lvlText w:val="•"/>
      <w:lvlJc w:val="left"/>
      <w:pPr>
        <w:ind w:left="6558" w:hanging="540"/>
      </w:pPr>
      <w:rPr>
        <w:rFonts w:hint="default"/>
        <w:lang w:val="sk-SK" w:eastAsia="en-US" w:bidi="ar-SA"/>
      </w:rPr>
    </w:lvl>
    <w:lvl w:ilvl="8" w:tplc="7526C382">
      <w:numFmt w:val="bullet"/>
      <w:lvlText w:val="•"/>
      <w:lvlJc w:val="left"/>
      <w:pPr>
        <w:ind w:left="7401" w:hanging="540"/>
      </w:pPr>
      <w:rPr>
        <w:rFonts w:hint="default"/>
        <w:lang w:val="sk-SK" w:eastAsia="en-US" w:bidi="ar-SA"/>
      </w:rPr>
    </w:lvl>
  </w:abstractNum>
  <w:num w:numId="1" w16cid:durableId="77598245">
    <w:abstractNumId w:val="2"/>
  </w:num>
  <w:num w:numId="2" w16cid:durableId="92868106">
    <w:abstractNumId w:val="12"/>
  </w:num>
  <w:num w:numId="3" w16cid:durableId="1503231481">
    <w:abstractNumId w:val="7"/>
  </w:num>
  <w:num w:numId="4" w16cid:durableId="983244464">
    <w:abstractNumId w:val="8"/>
  </w:num>
  <w:num w:numId="5" w16cid:durableId="1442723327">
    <w:abstractNumId w:val="9"/>
  </w:num>
  <w:num w:numId="6" w16cid:durableId="1485387413">
    <w:abstractNumId w:val="11"/>
  </w:num>
  <w:num w:numId="7" w16cid:durableId="1671715695">
    <w:abstractNumId w:val="10"/>
  </w:num>
  <w:num w:numId="8" w16cid:durableId="1386754064">
    <w:abstractNumId w:val="4"/>
  </w:num>
  <w:num w:numId="9" w16cid:durableId="243883465">
    <w:abstractNumId w:val="1"/>
  </w:num>
  <w:num w:numId="10" w16cid:durableId="1093815896">
    <w:abstractNumId w:val="3"/>
  </w:num>
  <w:num w:numId="11" w16cid:durableId="239409237">
    <w:abstractNumId w:val="13"/>
  </w:num>
  <w:num w:numId="12" w16cid:durableId="1496608454">
    <w:abstractNumId w:val="0"/>
  </w:num>
  <w:num w:numId="13" w16cid:durableId="1473908205">
    <w:abstractNumId w:val="5"/>
  </w:num>
  <w:num w:numId="14" w16cid:durableId="1529755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40"/>
    <w:rsid w:val="000155A7"/>
    <w:rsid w:val="000D6EFE"/>
    <w:rsid w:val="0012018E"/>
    <w:rsid w:val="00171800"/>
    <w:rsid w:val="001B7E11"/>
    <w:rsid w:val="001D1EC8"/>
    <w:rsid w:val="002276D6"/>
    <w:rsid w:val="002A1EB7"/>
    <w:rsid w:val="002D23FE"/>
    <w:rsid w:val="003050FA"/>
    <w:rsid w:val="00344D54"/>
    <w:rsid w:val="003B695C"/>
    <w:rsid w:val="003C5940"/>
    <w:rsid w:val="005858AC"/>
    <w:rsid w:val="00667798"/>
    <w:rsid w:val="00670A6D"/>
    <w:rsid w:val="007147C9"/>
    <w:rsid w:val="0072743E"/>
    <w:rsid w:val="007E50FB"/>
    <w:rsid w:val="007F561B"/>
    <w:rsid w:val="007F6BF2"/>
    <w:rsid w:val="00814284"/>
    <w:rsid w:val="00874081"/>
    <w:rsid w:val="008D4DB3"/>
    <w:rsid w:val="00945F95"/>
    <w:rsid w:val="00950406"/>
    <w:rsid w:val="00951783"/>
    <w:rsid w:val="009F676F"/>
    <w:rsid w:val="00A2038B"/>
    <w:rsid w:val="00A3481E"/>
    <w:rsid w:val="00AB2407"/>
    <w:rsid w:val="00AD10E2"/>
    <w:rsid w:val="00B85495"/>
    <w:rsid w:val="00BE1F56"/>
    <w:rsid w:val="00C159D4"/>
    <w:rsid w:val="00C81CD0"/>
    <w:rsid w:val="00C83E0E"/>
    <w:rsid w:val="00D71614"/>
    <w:rsid w:val="00D813FE"/>
    <w:rsid w:val="00DB220B"/>
    <w:rsid w:val="00DE57DF"/>
    <w:rsid w:val="00E978A0"/>
    <w:rsid w:val="00EC5BB1"/>
    <w:rsid w:val="00F057E5"/>
    <w:rsid w:val="00FD6DF4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67BB4"/>
  <w15:docId w15:val="{7E51E81A-88D6-497C-85EE-AFD3623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018E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spacing w:before="241"/>
      <w:ind w:left="2426" w:hanging="1619"/>
    </w:pPr>
    <w:rPr>
      <w:b/>
      <w:bCs/>
      <w:sz w:val="24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21"/>
      <w:ind w:left="669" w:hanging="540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21"/>
      <w:ind w:left="669" w:right="110" w:hanging="540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20"/>
      <w:ind w:left="9"/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1A15B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15BB"/>
    <w:rPr>
      <w:rFonts w:ascii="Verdana" w:eastAsia="Verdana" w:hAnsi="Verdana" w:cs="Verdana"/>
      <w:lang w:val="sk-SK"/>
    </w:rPr>
  </w:style>
  <w:style w:type="paragraph" w:styleId="Pta">
    <w:name w:val="footer"/>
    <w:basedOn w:val="Normlny"/>
    <w:link w:val="PtaChar"/>
    <w:uiPriority w:val="99"/>
    <w:unhideWhenUsed/>
    <w:rsid w:val="001A15B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1A15BB"/>
    <w:rPr>
      <w:rFonts w:ascii="Verdana" w:eastAsia="Verdana" w:hAnsi="Verdana" w:cs="Verdana"/>
      <w:lang w:val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5919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Revzia">
    <w:name w:val="Revision"/>
    <w:hidden/>
    <w:uiPriority w:val="99"/>
    <w:semiHidden/>
    <w:rsid w:val="0012018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9akn7W1lthMJZOArNTNLxEsWg==">CgMxLjA4AHIhMTNNRV9uaXlodXd3X2RHUWVpaEdqQjEzWVJDOTBDdkRT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Bajcik</dc:creator>
  <cp:lastModifiedBy>Peter Bajcik</cp:lastModifiedBy>
  <cp:revision>10</cp:revision>
  <dcterms:created xsi:type="dcterms:W3CDTF">2024-04-02T11:12:00Z</dcterms:created>
  <dcterms:modified xsi:type="dcterms:W3CDTF">2024-04-02T11:24:00Z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2024-02-17T00:00:00Z</vt:filetime>
  </property>
  <property fmtid="{D5CDD505-2E9C-101B-9397-08002B2CF9AE}" pid="5" name="Producer">
    <vt:lpwstr>3-Heights(TM) PDF Security Shell 4.8.25.2 (http://www.pdf-tools.com)</vt:lpwstr>
  </property>
</Properties>
</file>